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1EB40">
      <w:pPr>
        <w:pStyle w:val="6"/>
        <w:rPr>
          <w:rFonts w:hint="default" w:ascii="宋体" w:hAnsi="宋体" w:eastAsia="宋体" w:cs="宋体"/>
          <w:b/>
          <w:sz w:val="24"/>
          <w:lang w:val="en-US" w:eastAsia="zh-CN"/>
        </w:rPr>
      </w:pPr>
      <w:bookmarkStart w:id="0" w:name="_Toc27845"/>
      <w:bookmarkStart w:id="1" w:name="_Toc86743514"/>
      <w:bookmarkStart w:id="2" w:name="_Toc86743468"/>
      <w:bookmarkStart w:id="3" w:name="_Toc14191_WPSOffice_Level1"/>
      <w:r>
        <w:rPr>
          <w:rFonts w:hint="eastAsia" w:ascii="宋体" w:hAnsi="宋体" w:eastAsia="宋体" w:cs="Times New Roman"/>
          <w:sz w:val="24"/>
          <w:szCs w:val="24"/>
        </w:rPr>
        <w:t>附件一：</w:t>
      </w:r>
      <w:r>
        <w:rPr>
          <w:rFonts w:hint="eastAsia" w:ascii="宋体" w:hAnsi="宋体" w:cs="Times New Roman"/>
          <w:sz w:val="24"/>
          <w:szCs w:val="24"/>
          <w:lang w:val="en-US" w:eastAsia="zh-CN"/>
        </w:rPr>
        <w:t>采购明细及专用资格要求</w:t>
      </w:r>
      <w:bookmarkEnd w:id="0"/>
      <w:bookmarkEnd w:id="1"/>
      <w:bookmarkEnd w:id="2"/>
      <w:bookmarkEnd w:id="3"/>
      <w:bookmarkStart w:id="4" w:name="_GoBack"/>
      <w:bookmarkEnd w:id="4"/>
    </w:p>
    <w:tbl>
      <w:tblPr>
        <w:tblStyle w:val="4"/>
        <w:tblpPr w:leftFromText="180" w:rightFromText="180" w:vertAnchor="text" w:horzAnchor="page" w:tblpXSpec="center" w:tblpY="253"/>
        <w:tblOverlap w:val="never"/>
        <w:tblW w:w="107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66"/>
        <w:gridCol w:w="1121"/>
        <w:gridCol w:w="1147"/>
        <w:gridCol w:w="1103"/>
        <w:gridCol w:w="522"/>
        <w:gridCol w:w="536"/>
        <w:gridCol w:w="1013"/>
        <w:gridCol w:w="1868"/>
        <w:gridCol w:w="920"/>
        <w:gridCol w:w="920"/>
        <w:gridCol w:w="920"/>
      </w:tblGrid>
      <w:tr w14:paraId="25BDC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3" w:hRule="atLeast"/>
          <w:jc w:val="center"/>
        </w:trPr>
        <w:tc>
          <w:tcPr>
            <w:tcW w:w="666" w:type="dxa"/>
            <w:tcBorders>
              <w:top w:val="single" w:color="000000" w:sz="4" w:space="0"/>
              <w:left w:val="single" w:color="000000" w:sz="4" w:space="0"/>
              <w:bottom w:val="single" w:color="auto" w:sz="4" w:space="0"/>
              <w:right w:val="single" w:color="000000" w:sz="4" w:space="0"/>
            </w:tcBorders>
            <w:shd w:val="clear" w:color="auto" w:fill="auto"/>
            <w:vAlign w:val="center"/>
          </w:tcPr>
          <w:p w14:paraId="28B78C24">
            <w:pPr>
              <w:keepNext w:val="0"/>
              <w:keepLines w:val="0"/>
              <w:widowControl/>
              <w:suppressLineNumbers w:val="0"/>
              <w:jc w:val="both"/>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snapToGrid w:val="0"/>
                <w:color w:val="000000"/>
                <w:kern w:val="0"/>
                <w:sz w:val="21"/>
                <w:szCs w:val="21"/>
                <w:highlight w:val="none"/>
                <w:u w:val="none"/>
                <w:lang w:val="en-US" w:eastAsia="zh-CN" w:bidi="ar"/>
              </w:rPr>
              <w:t>标段编号</w:t>
            </w:r>
          </w:p>
        </w:tc>
        <w:tc>
          <w:tcPr>
            <w:tcW w:w="1121" w:type="dxa"/>
            <w:tcBorders>
              <w:top w:val="single" w:color="000000" w:sz="4" w:space="0"/>
              <w:left w:val="nil"/>
              <w:bottom w:val="single" w:color="auto" w:sz="4" w:space="0"/>
              <w:right w:val="single" w:color="000000" w:sz="4" w:space="0"/>
            </w:tcBorders>
            <w:shd w:val="clear" w:color="auto" w:fill="auto"/>
            <w:vAlign w:val="center"/>
          </w:tcPr>
          <w:p w14:paraId="1F2CC94F">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1"/>
                <w:szCs w:val="21"/>
                <w:highlight w:val="none"/>
                <w:u w:val="none"/>
                <w:lang w:val="en-US" w:eastAsia="zh-CN" w:bidi="ar"/>
              </w:rPr>
            </w:pPr>
            <w:r>
              <w:rPr>
                <w:rFonts w:hint="eastAsia" w:ascii="宋体" w:hAnsi="宋体" w:eastAsia="宋体" w:cs="宋体"/>
                <w:b/>
                <w:bCs/>
                <w:i w:val="0"/>
                <w:iCs w:val="0"/>
                <w:snapToGrid w:val="0"/>
                <w:color w:val="000000"/>
                <w:kern w:val="0"/>
                <w:sz w:val="21"/>
                <w:szCs w:val="21"/>
                <w:highlight w:val="none"/>
                <w:u w:val="none"/>
                <w:lang w:val="en-US" w:eastAsia="zh-CN" w:bidi="ar"/>
              </w:rPr>
              <w:t>标段名称</w:t>
            </w:r>
          </w:p>
        </w:tc>
        <w:tc>
          <w:tcPr>
            <w:tcW w:w="1147" w:type="dxa"/>
            <w:tcBorders>
              <w:top w:val="single" w:color="000000" w:sz="4" w:space="0"/>
              <w:left w:val="nil"/>
              <w:bottom w:val="single" w:color="auto" w:sz="4" w:space="0"/>
              <w:right w:val="single" w:color="000000" w:sz="4" w:space="0"/>
            </w:tcBorders>
            <w:shd w:val="clear" w:color="auto" w:fill="auto"/>
            <w:vAlign w:val="center"/>
          </w:tcPr>
          <w:p w14:paraId="3B05649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项目单位</w:t>
            </w:r>
          </w:p>
        </w:tc>
        <w:tc>
          <w:tcPr>
            <w:tcW w:w="1103" w:type="dxa"/>
            <w:tcBorders>
              <w:top w:val="single" w:color="000000" w:sz="4" w:space="0"/>
              <w:left w:val="single" w:color="000000" w:sz="4" w:space="0"/>
              <w:bottom w:val="single" w:color="auto" w:sz="4" w:space="0"/>
              <w:right w:val="single" w:color="000000" w:sz="4" w:space="0"/>
            </w:tcBorders>
            <w:shd w:val="clear" w:color="auto" w:fill="auto"/>
            <w:vAlign w:val="center"/>
          </w:tcPr>
          <w:p w14:paraId="4B162E4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snapToGrid w:val="0"/>
                <w:color w:val="000000"/>
                <w:kern w:val="0"/>
                <w:sz w:val="21"/>
                <w:szCs w:val="21"/>
                <w:highlight w:val="none"/>
                <w:u w:val="none"/>
                <w:lang w:val="en-US" w:eastAsia="zh-CN" w:bidi="ar"/>
              </w:rPr>
              <w:t>服务内容</w:t>
            </w:r>
          </w:p>
        </w:tc>
        <w:tc>
          <w:tcPr>
            <w:tcW w:w="522" w:type="dxa"/>
            <w:tcBorders>
              <w:top w:val="single" w:color="000000" w:sz="4" w:space="0"/>
              <w:left w:val="single" w:color="000000" w:sz="4" w:space="0"/>
              <w:bottom w:val="single" w:color="auto" w:sz="4" w:space="0"/>
              <w:right w:val="single" w:color="000000" w:sz="4" w:space="0"/>
            </w:tcBorders>
            <w:shd w:val="clear" w:color="auto" w:fill="auto"/>
            <w:vAlign w:val="center"/>
          </w:tcPr>
          <w:p w14:paraId="52ABD5D1">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1"/>
                <w:szCs w:val="21"/>
                <w:highlight w:val="none"/>
                <w:u w:val="none"/>
                <w:lang w:val="en-US" w:eastAsia="zh-CN" w:bidi="ar"/>
              </w:rPr>
            </w:pPr>
            <w:r>
              <w:rPr>
                <w:rFonts w:hint="eastAsia" w:ascii="宋体" w:hAnsi="宋体" w:eastAsia="宋体" w:cs="宋体"/>
                <w:b/>
                <w:bCs/>
                <w:i w:val="0"/>
                <w:iCs w:val="0"/>
                <w:snapToGrid w:val="0"/>
                <w:color w:val="000000"/>
                <w:kern w:val="0"/>
                <w:sz w:val="21"/>
                <w:szCs w:val="21"/>
                <w:highlight w:val="none"/>
                <w:u w:val="none"/>
                <w:lang w:val="en-US" w:eastAsia="zh-CN" w:bidi="ar"/>
              </w:rPr>
              <w:t>单位</w:t>
            </w:r>
          </w:p>
        </w:tc>
        <w:tc>
          <w:tcPr>
            <w:tcW w:w="536" w:type="dxa"/>
            <w:tcBorders>
              <w:top w:val="single" w:color="000000" w:sz="4" w:space="0"/>
              <w:left w:val="single" w:color="000000" w:sz="4" w:space="0"/>
              <w:bottom w:val="single" w:color="auto" w:sz="4" w:space="0"/>
              <w:right w:val="single" w:color="000000" w:sz="4" w:space="0"/>
            </w:tcBorders>
            <w:shd w:val="clear" w:color="auto" w:fill="auto"/>
            <w:vAlign w:val="center"/>
          </w:tcPr>
          <w:p w14:paraId="466EBF6E">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1"/>
                <w:szCs w:val="21"/>
                <w:highlight w:val="none"/>
                <w:u w:val="none"/>
                <w:lang w:val="en-US" w:eastAsia="zh-CN" w:bidi="ar"/>
              </w:rPr>
            </w:pPr>
            <w:r>
              <w:rPr>
                <w:rFonts w:hint="eastAsia" w:ascii="宋体" w:hAnsi="宋体" w:eastAsia="宋体" w:cs="宋体"/>
                <w:b/>
                <w:bCs/>
                <w:i w:val="0"/>
                <w:iCs w:val="0"/>
                <w:snapToGrid w:val="0"/>
                <w:color w:val="000000"/>
                <w:kern w:val="0"/>
                <w:sz w:val="21"/>
                <w:szCs w:val="21"/>
                <w:highlight w:val="none"/>
                <w:u w:val="none"/>
                <w:lang w:val="en-US" w:eastAsia="zh-CN" w:bidi="ar"/>
              </w:rPr>
              <w:t>数量</w:t>
            </w:r>
          </w:p>
        </w:tc>
        <w:tc>
          <w:tcPr>
            <w:tcW w:w="1013" w:type="dxa"/>
            <w:tcBorders>
              <w:top w:val="single" w:color="000000" w:sz="4" w:space="0"/>
              <w:left w:val="single" w:color="000000" w:sz="4" w:space="0"/>
              <w:bottom w:val="single" w:color="auto" w:sz="4" w:space="0"/>
              <w:right w:val="single" w:color="000000" w:sz="4" w:space="0"/>
            </w:tcBorders>
            <w:shd w:val="clear" w:color="auto" w:fill="auto"/>
            <w:vAlign w:val="center"/>
          </w:tcPr>
          <w:p w14:paraId="6FE8B7EE">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1"/>
                <w:szCs w:val="21"/>
                <w:highlight w:val="none"/>
                <w:u w:val="none"/>
                <w:lang w:val="en-US" w:eastAsia="zh-CN" w:bidi="ar"/>
              </w:rPr>
            </w:pPr>
            <w:r>
              <w:rPr>
                <w:rFonts w:hint="eastAsia" w:ascii="宋体" w:hAnsi="宋体" w:eastAsia="宋体" w:cs="宋体"/>
                <w:b/>
                <w:bCs/>
                <w:i w:val="0"/>
                <w:iCs w:val="0"/>
                <w:snapToGrid w:val="0"/>
                <w:color w:val="000000"/>
                <w:kern w:val="0"/>
                <w:sz w:val="21"/>
                <w:szCs w:val="21"/>
                <w:highlight w:val="none"/>
                <w:u w:val="none"/>
                <w:lang w:val="en-US" w:eastAsia="zh-CN" w:bidi="ar"/>
              </w:rPr>
              <w:t>最高投标限价（元）</w:t>
            </w:r>
          </w:p>
        </w:tc>
        <w:tc>
          <w:tcPr>
            <w:tcW w:w="1868" w:type="dxa"/>
            <w:tcBorders>
              <w:top w:val="single" w:color="000000" w:sz="4" w:space="0"/>
              <w:left w:val="single" w:color="000000" w:sz="4" w:space="0"/>
              <w:bottom w:val="single" w:color="auto" w:sz="4" w:space="0"/>
              <w:right w:val="single" w:color="000000" w:sz="4" w:space="0"/>
            </w:tcBorders>
            <w:shd w:val="clear" w:color="auto" w:fill="auto"/>
            <w:vAlign w:val="center"/>
          </w:tcPr>
          <w:p w14:paraId="5C896B54">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1"/>
                <w:szCs w:val="21"/>
                <w:highlight w:val="none"/>
                <w:u w:val="none"/>
                <w:lang w:val="en-US" w:eastAsia="zh-CN" w:bidi="ar"/>
              </w:rPr>
            </w:pPr>
            <w:r>
              <w:rPr>
                <w:rFonts w:hint="eastAsia" w:ascii="宋体" w:hAnsi="宋体" w:eastAsia="宋体" w:cs="宋体"/>
                <w:b/>
                <w:bCs/>
                <w:i w:val="0"/>
                <w:iCs w:val="0"/>
                <w:snapToGrid w:val="0"/>
                <w:color w:val="000000"/>
                <w:kern w:val="0"/>
                <w:sz w:val="21"/>
                <w:szCs w:val="21"/>
                <w:highlight w:val="none"/>
                <w:u w:val="none"/>
                <w:lang w:val="en-US" w:eastAsia="zh-CN" w:bidi="ar"/>
              </w:rPr>
              <w:t>专用资格要求</w:t>
            </w:r>
          </w:p>
        </w:tc>
        <w:tc>
          <w:tcPr>
            <w:tcW w:w="920" w:type="dxa"/>
            <w:tcBorders>
              <w:top w:val="single" w:color="000000" w:sz="4" w:space="0"/>
              <w:left w:val="single" w:color="000000" w:sz="4" w:space="0"/>
              <w:bottom w:val="single" w:color="auto" w:sz="4" w:space="0"/>
              <w:right w:val="single" w:color="000000" w:sz="4" w:space="0"/>
            </w:tcBorders>
            <w:shd w:val="clear" w:color="auto" w:fill="auto"/>
            <w:vAlign w:val="center"/>
          </w:tcPr>
          <w:p w14:paraId="0AE2BE19">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1"/>
                <w:szCs w:val="21"/>
                <w:highlight w:val="none"/>
                <w:u w:val="none"/>
                <w:lang w:val="en-US" w:eastAsia="zh-CN" w:bidi="ar"/>
              </w:rPr>
            </w:pPr>
            <w:r>
              <w:rPr>
                <w:rFonts w:hint="eastAsia" w:ascii="宋体" w:hAnsi="宋体" w:eastAsia="宋体" w:cs="宋体"/>
                <w:b/>
                <w:bCs/>
                <w:i w:val="0"/>
                <w:iCs w:val="0"/>
                <w:color w:val="000000"/>
                <w:sz w:val="21"/>
                <w:szCs w:val="21"/>
                <w:highlight w:val="none"/>
                <w:u w:val="none"/>
                <w:lang w:val="en-US" w:eastAsia="zh-CN"/>
              </w:rPr>
              <w:t>服务期</w:t>
            </w:r>
          </w:p>
        </w:tc>
        <w:tc>
          <w:tcPr>
            <w:tcW w:w="920" w:type="dxa"/>
            <w:tcBorders>
              <w:top w:val="single" w:color="000000" w:sz="4" w:space="0"/>
              <w:left w:val="single" w:color="000000" w:sz="4" w:space="0"/>
              <w:bottom w:val="single" w:color="auto" w:sz="4" w:space="0"/>
              <w:right w:val="single" w:color="000000" w:sz="4" w:space="0"/>
            </w:tcBorders>
            <w:shd w:val="clear" w:color="auto" w:fill="auto"/>
            <w:vAlign w:val="center"/>
          </w:tcPr>
          <w:p w14:paraId="76E9AC4D">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1"/>
                <w:szCs w:val="21"/>
                <w:highlight w:val="none"/>
                <w:u w:val="none"/>
                <w:lang w:val="en-US" w:eastAsia="zh-CN" w:bidi="ar"/>
              </w:rPr>
            </w:pPr>
            <w:r>
              <w:rPr>
                <w:rFonts w:hint="eastAsia" w:ascii="宋体" w:hAnsi="宋体" w:eastAsia="宋体" w:cs="宋体"/>
                <w:b/>
                <w:bCs/>
                <w:i w:val="0"/>
                <w:iCs w:val="0"/>
                <w:color w:val="000000"/>
                <w:sz w:val="21"/>
                <w:szCs w:val="21"/>
                <w:highlight w:val="none"/>
                <w:u w:val="none"/>
                <w:lang w:val="en-US" w:eastAsia="zh-CN"/>
              </w:rPr>
              <w:t>服务地点</w:t>
            </w:r>
          </w:p>
        </w:tc>
        <w:tc>
          <w:tcPr>
            <w:tcW w:w="920" w:type="dxa"/>
            <w:tcBorders>
              <w:top w:val="single" w:color="000000" w:sz="4" w:space="0"/>
              <w:left w:val="single" w:color="000000" w:sz="4" w:space="0"/>
              <w:bottom w:val="single" w:color="auto" w:sz="4" w:space="0"/>
              <w:right w:val="single" w:color="000000" w:sz="4" w:space="0"/>
            </w:tcBorders>
            <w:shd w:val="clear" w:color="auto" w:fill="auto"/>
            <w:vAlign w:val="center"/>
          </w:tcPr>
          <w:p w14:paraId="4A2E8CD9">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备注</w:t>
            </w:r>
          </w:p>
        </w:tc>
      </w:tr>
      <w:tr w14:paraId="2CE17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33" w:hRule="atLeast"/>
          <w:jc w:val="center"/>
        </w:trPr>
        <w:tc>
          <w:tcPr>
            <w:tcW w:w="666" w:type="dxa"/>
            <w:vMerge w:val="restart"/>
            <w:tcBorders>
              <w:top w:val="single" w:color="auto" w:sz="4" w:space="0"/>
              <w:left w:val="single" w:color="auto" w:sz="4" w:space="0"/>
              <w:right w:val="single" w:color="auto" w:sz="4" w:space="0"/>
            </w:tcBorders>
            <w:shd w:val="clear" w:color="auto" w:fill="auto"/>
            <w:vAlign w:val="center"/>
          </w:tcPr>
          <w:p w14:paraId="2D7A0F11">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1"/>
                <w:szCs w:val="21"/>
                <w:highlight w:val="none"/>
                <w:u w:val="none"/>
                <w:lang w:val="en-US" w:eastAsia="zh-CN" w:bidi="ar"/>
              </w:rPr>
            </w:pPr>
            <w:r>
              <w:rPr>
                <w:rFonts w:hint="eastAsia" w:ascii="宋体" w:hAnsi="宋体" w:eastAsia="宋体" w:cs="宋体"/>
                <w:b/>
                <w:bCs/>
                <w:i w:val="0"/>
                <w:iCs w:val="0"/>
                <w:snapToGrid w:val="0"/>
                <w:color w:val="000000"/>
                <w:kern w:val="0"/>
                <w:sz w:val="21"/>
                <w:szCs w:val="21"/>
                <w:highlight w:val="none"/>
                <w:u w:val="none"/>
                <w:lang w:val="en-US" w:eastAsia="zh-CN" w:bidi="ar"/>
              </w:rPr>
              <w:t>1</w:t>
            </w:r>
          </w:p>
        </w:tc>
        <w:tc>
          <w:tcPr>
            <w:tcW w:w="1121" w:type="dxa"/>
            <w:vMerge w:val="restart"/>
            <w:tcBorders>
              <w:top w:val="single" w:color="auto" w:sz="4" w:space="0"/>
              <w:left w:val="single" w:color="auto" w:sz="4" w:space="0"/>
              <w:right w:val="single" w:color="auto" w:sz="4" w:space="0"/>
            </w:tcBorders>
            <w:shd w:val="clear" w:color="auto" w:fill="auto"/>
            <w:vAlign w:val="center"/>
          </w:tcPr>
          <w:p w14:paraId="1DB7DFA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2025年变电站高压电缆带电检测项目（修试一处、修试二处）、高压电缆线路运行状态带电检测</w:t>
            </w:r>
          </w:p>
        </w:tc>
        <w:tc>
          <w:tcPr>
            <w:tcW w:w="1147" w:type="dxa"/>
            <w:tcBorders>
              <w:top w:val="single" w:color="auto" w:sz="4" w:space="0"/>
              <w:left w:val="single" w:color="auto" w:sz="4" w:space="0"/>
              <w:bottom w:val="single" w:color="auto" w:sz="4" w:space="0"/>
              <w:right w:val="single" w:color="auto" w:sz="4" w:space="0"/>
            </w:tcBorders>
            <w:shd w:val="clear" w:color="auto" w:fill="auto"/>
            <w:vAlign w:val="center"/>
          </w:tcPr>
          <w:p w14:paraId="1DEB4F9F">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修试管理一处</w:t>
            </w:r>
          </w:p>
        </w:tc>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14:paraId="500B369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2025年变电站高压电缆带电检测项目（修试一处）</w:t>
            </w:r>
          </w:p>
        </w:tc>
        <w:tc>
          <w:tcPr>
            <w:tcW w:w="522" w:type="dxa"/>
            <w:tcBorders>
              <w:top w:val="single" w:color="auto" w:sz="4" w:space="0"/>
              <w:left w:val="single" w:color="auto" w:sz="4" w:space="0"/>
              <w:bottom w:val="single" w:color="auto" w:sz="4" w:space="0"/>
              <w:right w:val="single" w:color="auto" w:sz="4" w:space="0"/>
            </w:tcBorders>
            <w:shd w:val="clear" w:color="auto" w:fill="auto"/>
            <w:vAlign w:val="center"/>
          </w:tcPr>
          <w:p w14:paraId="7F2EEA4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项</w:t>
            </w:r>
          </w:p>
        </w:tc>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50D5CA8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1</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21C40F95">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573300</w:t>
            </w:r>
          </w:p>
        </w:tc>
        <w:tc>
          <w:tcPr>
            <w:tcW w:w="1868" w:type="dxa"/>
            <w:vMerge w:val="restart"/>
            <w:tcBorders>
              <w:top w:val="single" w:color="auto" w:sz="4" w:space="0"/>
              <w:left w:val="single" w:color="auto" w:sz="4" w:space="0"/>
              <w:right w:val="single" w:color="auto" w:sz="4" w:space="0"/>
            </w:tcBorders>
            <w:shd w:val="clear" w:color="auto" w:fill="auto"/>
            <w:vAlign w:val="center"/>
          </w:tcPr>
          <w:p w14:paraId="58321DD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1、投标人具有建设行政主管部门颁发的在有效期内的安全生产许可证；</w:t>
            </w:r>
          </w:p>
          <w:p w14:paraId="0A91214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2、投标人投入的检测设备需通过权威第三方检测检验机构检测，提供具有CNAS和CMA标识的电缆局部放电检测设备的检测报告；</w:t>
            </w:r>
          </w:p>
          <w:p w14:paraId="4B05D4A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3、投标人需提供至少3名本公司检测技术人员有效期内相关行政主管部门颁发的准操项目为（高压电工作业或电气试验）的特种作业证书。（提供特种作业证书扫描件及本公告公布前不少于6个月在本单位的社保缴存证明）</w:t>
            </w:r>
          </w:p>
          <w:p w14:paraId="5F523AC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p>
        </w:tc>
        <w:tc>
          <w:tcPr>
            <w:tcW w:w="920" w:type="dxa"/>
            <w:vMerge w:val="restart"/>
            <w:tcBorders>
              <w:top w:val="single" w:color="auto" w:sz="4" w:space="0"/>
              <w:left w:val="single" w:color="auto" w:sz="4" w:space="0"/>
              <w:right w:val="single" w:color="auto" w:sz="4" w:space="0"/>
            </w:tcBorders>
            <w:shd w:val="clear" w:color="auto" w:fill="auto"/>
            <w:vAlign w:val="center"/>
          </w:tcPr>
          <w:p w14:paraId="1765706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合同签订之日起至12月15日</w:t>
            </w:r>
          </w:p>
        </w:tc>
        <w:tc>
          <w:tcPr>
            <w:tcW w:w="920" w:type="dxa"/>
            <w:vMerge w:val="restart"/>
            <w:tcBorders>
              <w:top w:val="single" w:color="auto" w:sz="4" w:space="0"/>
              <w:left w:val="single" w:color="auto" w:sz="4" w:space="0"/>
              <w:right w:val="single" w:color="auto" w:sz="4" w:space="0"/>
            </w:tcBorders>
            <w:shd w:val="clear" w:color="auto" w:fill="auto"/>
            <w:vAlign w:val="center"/>
          </w:tcPr>
          <w:p w14:paraId="4C36620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招标人指定地点</w:t>
            </w: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26A05F49">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含16座变电站的210条电缆，总终端数为273个（包含GIS终端198个）</w:t>
            </w:r>
          </w:p>
          <w:p w14:paraId="16B1774B">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p>
        </w:tc>
      </w:tr>
      <w:tr w14:paraId="7DA4F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5" w:hRule="atLeast"/>
          <w:jc w:val="center"/>
        </w:trPr>
        <w:tc>
          <w:tcPr>
            <w:tcW w:w="666" w:type="dxa"/>
            <w:vMerge w:val="continue"/>
            <w:tcBorders>
              <w:left w:val="single" w:color="auto" w:sz="4" w:space="0"/>
              <w:right w:val="single" w:color="auto" w:sz="4" w:space="0"/>
            </w:tcBorders>
            <w:shd w:val="clear" w:color="auto" w:fill="auto"/>
            <w:vAlign w:val="center"/>
          </w:tcPr>
          <w:p w14:paraId="6748CAA5">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1"/>
                <w:szCs w:val="21"/>
                <w:highlight w:val="none"/>
                <w:u w:val="none"/>
                <w:lang w:val="en-US" w:eastAsia="zh-CN" w:bidi="ar"/>
              </w:rPr>
            </w:pPr>
          </w:p>
        </w:tc>
        <w:tc>
          <w:tcPr>
            <w:tcW w:w="1121" w:type="dxa"/>
            <w:vMerge w:val="continue"/>
            <w:tcBorders>
              <w:left w:val="single" w:color="auto" w:sz="4" w:space="0"/>
              <w:right w:val="single" w:color="auto" w:sz="4" w:space="0"/>
            </w:tcBorders>
            <w:shd w:val="clear" w:color="auto" w:fill="auto"/>
            <w:vAlign w:val="center"/>
          </w:tcPr>
          <w:p w14:paraId="0551015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p>
        </w:tc>
        <w:tc>
          <w:tcPr>
            <w:tcW w:w="1147" w:type="dxa"/>
            <w:tcBorders>
              <w:top w:val="single" w:color="auto" w:sz="4" w:space="0"/>
              <w:left w:val="single" w:color="auto" w:sz="4" w:space="0"/>
              <w:bottom w:val="single" w:color="auto" w:sz="4" w:space="0"/>
              <w:right w:val="single" w:color="auto" w:sz="4" w:space="0"/>
            </w:tcBorders>
            <w:shd w:val="clear" w:color="auto" w:fill="auto"/>
            <w:vAlign w:val="center"/>
          </w:tcPr>
          <w:p w14:paraId="2D91B35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修试管理二处</w:t>
            </w:r>
          </w:p>
        </w:tc>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14:paraId="0B7A44B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2025年变电站高压电缆带电检测项目（修试二处）</w:t>
            </w:r>
          </w:p>
        </w:tc>
        <w:tc>
          <w:tcPr>
            <w:tcW w:w="522" w:type="dxa"/>
            <w:tcBorders>
              <w:top w:val="single" w:color="auto" w:sz="4" w:space="0"/>
              <w:left w:val="single" w:color="auto" w:sz="4" w:space="0"/>
              <w:bottom w:val="single" w:color="auto" w:sz="4" w:space="0"/>
              <w:right w:val="single" w:color="auto" w:sz="4" w:space="0"/>
            </w:tcBorders>
            <w:shd w:val="clear" w:color="auto" w:fill="auto"/>
            <w:vAlign w:val="center"/>
          </w:tcPr>
          <w:p w14:paraId="2012F92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项</w:t>
            </w:r>
          </w:p>
        </w:tc>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2AD85EB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1</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37E4C102">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378000</w:t>
            </w:r>
          </w:p>
        </w:tc>
        <w:tc>
          <w:tcPr>
            <w:tcW w:w="1868" w:type="dxa"/>
            <w:vMerge w:val="continue"/>
            <w:tcBorders>
              <w:left w:val="single" w:color="auto" w:sz="4" w:space="0"/>
              <w:right w:val="single" w:color="auto" w:sz="4" w:space="0"/>
            </w:tcBorders>
            <w:shd w:val="clear" w:color="auto" w:fill="auto"/>
            <w:vAlign w:val="center"/>
          </w:tcPr>
          <w:p w14:paraId="5051E75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p>
        </w:tc>
        <w:tc>
          <w:tcPr>
            <w:tcW w:w="920" w:type="dxa"/>
            <w:vMerge w:val="continue"/>
            <w:tcBorders>
              <w:left w:val="single" w:color="auto" w:sz="4" w:space="0"/>
              <w:right w:val="single" w:color="auto" w:sz="4" w:space="0"/>
            </w:tcBorders>
            <w:shd w:val="clear" w:color="auto" w:fill="auto"/>
            <w:vAlign w:val="center"/>
          </w:tcPr>
          <w:p w14:paraId="675E66EA">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p>
        </w:tc>
        <w:tc>
          <w:tcPr>
            <w:tcW w:w="920" w:type="dxa"/>
            <w:vMerge w:val="continue"/>
            <w:tcBorders>
              <w:left w:val="single" w:color="auto" w:sz="4" w:space="0"/>
              <w:right w:val="single" w:color="auto" w:sz="4" w:space="0"/>
            </w:tcBorders>
            <w:shd w:val="clear" w:color="auto" w:fill="auto"/>
            <w:vAlign w:val="center"/>
          </w:tcPr>
          <w:p w14:paraId="7CC8A673">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00252BD6">
            <w:pPr>
              <w:keepNext w:val="0"/>
              <w:keepLines w:val="0"/>
              <w:widowControl/>
              <w:suppressLineNumbers w:val="0"/>
              <w:jc w:val="left"/>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含10座变电站的59条电缆，总终端数为198个（包含GIS终端46个）</w:t>
            </w:r>
          </w:p>
        </w:tc>
      </w:tr>
      <w:tr w14:paraId="725AE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6" w:hRule="atLeast"/>
          <w:jc w:val="center"/>
        </w:trPr>
        <w:tc>
          <w:tcPr>
            <w:tcW w:w="666" w:type="dxa"/>
            <w:vMerge w:val="continue"/>
            <w:tcBorders>
              <w:left w:val="single" w:color="auto" w:sz="4" w:space="0"/>
              <w:bottom w:val="single" w:color="auto" w:sz="4" w:space="0"/>
              <w:right w:val="single" w:color="auto" w:sz="4" w:space="0"/>
            </w:tcBorders>
            <w:shd w:val="clear" w:color="auto" w:fill="auto"/>
            <w:vAlign w:val="center"/>
          </w:tcPr>
          <w:p w14:paraId="502044E0">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1"/>
                <w:szCs w:val="21"/>
                <w:highlight w:val="none"/>
                <w:u w:val="none"/>
                <w:lang w:val="en-US" w:eastAsia="zh-CN" w:bidi="ar"/>
              </w:rPr>
            </w:pPr>
          </w:p>
        </w:tc>
        <w:tc>
          <w:tcPr>
            <w:tcW w:w="1121" w:type="dxa"/>
            <w:vMerge w:val="continue"/>
            <w:tcBorders>
              <w:left w:val="single" w:color="auto" w:sz="4" w:space="0"/>
              <w:bottom w:val="single" w:color="auto" w:sz="4" w:space="0"/>
              <w:right w:val="single" w:color="auto" w:sz="4" w:space="0"/>
            </w:tcBorders>
            <w:shd w:val="clear" w:color="auto" w:fill="auto"/>
            <w:vAlign w:val="center"/>
          </w:tcPr>
          <w:p w14:paraId="147CCF8E">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p>
        </w:tc>
        <w:tc>
          <w:tcPr>
            <w:tcW w:w="1147" w:type="dxa"/>
            <w:tcBorders>
              <w:top w:val="single" w:color="auto" w:sz="4" w:space="0"/>
              <w:left w:val="single" w:color="auto" w:sz="4" w:space="0"/>
              <w:bottom w:val="single" w:color="auto" w:sz="4" w:space="0"/>
              <w:right w:val="single" w:color="auto" w:sz="4" w:space="0"/>
            </w:tcBorders>
            <w:shd w:val="clear" w:color="auto" w:fill="auto"/>
            <w:vAlign w:val="center"/>
          </w:tcPr>
          <w:p w14:paraId="60A1ADCC">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输电管理处</w:t>
            </w:r>
          </w:p>
        </w:tc>
        <w:tc>
          <w:tcPr>
            <w:tcW w:w="1103" w:type="dxa"/>
            <w:tcBorders>
              <w:top w:val="single" w:color="auto" w:sz="4" w:space="0"/>
              <w:left w:val="single" w:color="auto" w:sz="4" w:space="0"/>
              <w:bottom w:val="single" w:color="auto" w:sz="4" w:space="0"/>
              <w:right w:val="single" w:color="auto" w:sz="4" w:space="0"/>
            </w:tcBorders>
            <w:shd w:val="clear" w:color="auto" w:fill="auto"/>
            <w:vAlign w:val="center"/>
          </w:tcPr>
          <w:p w14:paraId="1A8E554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包供2025年生产日常检修-229</w:t>
            </w:r>
            <w:r>
              <w:rPr>
                <w:rFonts w:hint="eastAsia" w:ascii="宋体" w:hAnsi="宋体" w:cs="宋体"/>
                <w:i w:val="0"/>
                <w:iCs w:val="0"/>
                <w:snapToGrid w:val="0"/>
                <w:color w:val="000000"/>
                <w:kern w:val="0"/>
                <w:sz w:val="21"/>
                <w:szCs w:val="21"/>
                <w:highlight w:val="none"/>
                <w:u w:val="none"/>
                <w:lang w:val="en-US" w:eastAsia="zh-CN" w:bidi="ar"/>
              </w:rPr>
              <w:t xml:space="preserve"> </w:t>
            </w:r>
            <w:r>
              <w:rPr>
                <w:rFonts w:hint="eastAsia" w:ascii="宋体" w:hAnsi="宋体" w:eastAsia="宋体" w:cs="宋体"/>
                <w:i w:val="0"/>
                <w:iCs w:val="0"/>
                <w:snapToGrid w:val="0"/>
                <w:color w:val="000000"/>
                <w:kern w:val="0"/>
                <w:sz w:val="21"/>
                <w:szCs w:val="21"/>
                <w:highlight w:val="none"/>
                <w:u w:val="none"/>
                <w:lang w:val="en-US" w:eastAsia="zh-CN" w:bidi="ar"/>
              </w:rPr>
              <w:t>220KV高木双线等高压电缆线路运行状态带电检测</w:t>
            </w:r>
          </w:p>
        </w:tc>
        <w:tc>
          <w:tcPr>
            <w:tcW w:w="522" w:type="dxa"/>
            <w:tcBorders>
              <w:top w:val="single" w:color="auto" w:sz="4" w:space="0"/>
              <w:left w:val="single" w:color="auto" w:sz="4" w:space="0"/>
              <w:bottom w:val="single" w:color="auto" w:sz="4" w:space="0"/>
              <w:right w:val="single" w:color="auto" w:sz="4" w:space="0"/>
            </w:tcBorders>
            <w:shd w:val="clear" w:color="auto" w:fill="auto"/>
            <w:vAlign w:val="center"/>
          </w:tcPr>
          <w:p w14:paraId="169BD86B">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项</w:t>
            </w:r>
          </w:p>
        </w:tc>
        <w:tc>
          <w:tcPr>
            <w:tcW w:w="536" w:type="dxa"/>
            <w:tcBorders>
              <w:top w:val="single" w:color="auto" w:sz="4" w:space="0"/>
              <w:left w:val="single" w:color="auto" w:sz="4" w:space="0"/>
              <w:bottom w:val="single" w:color="auto" w:sz="4" w:space="0"/>
              <w:right w:val="single" w:color="auto" w:sz="4" w:space="0"/>
            </w:tcBorders>
            <w:shd w:val="clear" w:color="auto" w:fill="auto"/>
            <w:vAlign w:val="center"/>
          </w:tcPr>
          <w:p w14:paraId="276E26C4">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1</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07EF83D1">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659000</w:t>
            </w:r>
          </w:p>
        </w:tc>
        <w:tc>
          <w:tcPr>
            <w:tcW w:w="1868" w:type="dxa"/>
            <w:vMerge w:val="continue"/>
            <w:tcBorders>
              <w:left w:val="single" w:color="auto" w:sz="4" w:space="0"/>
              <w:bottom w:val="single" w:color="auto" w:sz="4" w:space="0"/>
              <w:right w:val="single" w:color="auto" w:sz="4" w:space="0"/>
            </w:tcBorders>
            <w:shd w:val="clear" w:color="auto" w:fill="auto"/>
            <w:vAlign w:val="center"/>
          </w:tcPr>
          <w:p w14:paraId="0782E93D">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p>
        </w:tc>
        <w:tc>
          <w:tcPr>
            <w:tcW w:w="920" w:type="dxa"/>
            <w:vMerge w:val="continue"/>
            <w:tcBorders>
              <w:left w:val="single" w:color="auto" w:sz="4" w:space="0"/>
              <w:bottom w:val="single" w:color="auto" w:sz="4" w:space="0"/>
              <w:right w:val="single" w:color="auto" w:sz="4" w:space="0"/>
            </w:tcBorders>
            <w:shd w:val="clear" w:color="auto" w:fill="auto"/>
            <w:vAlign w:val="center"/>
          </w:tcPr>
          <w:p w14:paraId="19FBB5A6">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p>
        </w:tc>
        <w:tc>
          <w:tcPr>
            <w:tcW w:w="920" w:type="dxa"/>
            <w:vMerge w:val="continue"/>
            <w:tcBorders>
              <w:left w:val="single" w:color="auto" w:sz="4" w:space="0"/>
              <w:bottom w:val="single" w:color="auto" w:sz="4" w:space="0"/>
              <w:right w:val="single" w:color="auto" w:sz="4" w:space="0"/>
            </w:tcBorders>
            <w:shd w:val="clear" w:color="auto" w:fill="auto"/>
            <w:vAlign w:val="center"/>
          </w:tcPr>
          <w:p w14:paraId="1DD293F7">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p>
        </w:tc>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33592C58">
            <w:pPr>
              <w:keepNext w:val="0"/>
              <w:keepLines w:val="0"/>
              <w:widowControl/>
              <w:suppressLineNumbers w:val="0"/>
              <w:jc w:val="center"/>
              <w:textAlignment w:val="center"/>
              <w:rPr>
                <w:rFonts w:hint="eastAsia" w:ascii="宋体" w:hAnsi="宋体" w:eastAsia="宋体" w:cs="宋体"/>
                <w:i w:val="0"/>
                <w:iCs w:val="0"/>
                <w:snapToGrid w:val="0"/>
                <w:color w:val="000000"/>
                <w:kern w:val="0"/>
                <w:sz w:val="21"/>
                <w:szCs w:val="21"/>
                <w:highlight w:val="none"/>
                <w:u w:val="none"/>
                <w:lang w:val="en-US" w:eastAsia="zh-CN" w:bidi="ar"/>
              </w:rPr>
            </w:pPr>
            <w:r>
              <w:rPr>
                <w:rFonts w:hint="eastAsia" w:ascii="宋体" w:hAnsi="宋体" w:eastAsia="宋体" w:cs="宋体"/>
                <w:i w:val="0"/>
                <w:iCs w:val="0"/>
                <w:snapToGrid w:val="0"/>
                <w:color w:val="000000"/>
                <w:kern w:val="0"/>
                <w:sz w:val="21"/>
                <w:szCs w:val="21"/>
                <w:highlight w:val="none"/>
                <w:u w:val="none"/>
                <w:lang w:val="en-US" w:eastAsia="zh-CN" w:bidi="ar"/>
              </w:rPr>
              <w:t>不少于6条输电线路</w:t>
            </w:r>
          </w:p>
        </w:tc>
      </w:tr>
      <w:tr w14:paraId="0E4B5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6" w:hRule="atLeast"/>
          <w:jc w:val="center"/>
        </w:trPr>
        <w:tc>
          <w:tcPr>
            <w:tcW w:w="509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3994BD16">
            <w:pPr>
              <w:keepNext w:val="0"/>
              <w:keepLines w:val="0"/>
              <w:widowControl/>
              <w:suppressLineNumbers w:val="0"/>
              <w:jc w:val="center"/>
              <w:textAlignment w:val="center"/>
              <w:rPr>
                <w:rFonts w:hint="default" w:ascii="宋体" w:hAnsi="宋体" w:eastAsia="宋体" w:cs="宋体"/>
                <w:b/>
                <w:bCs/>
                <w:i w:val="0"/>
                <w:iCs w:val="0"/>
                <w:snapToGrid w:val="0"/>
                <w:color w:val="000000"/>
                <w:kern w:val="0"/>
                <w:sz w:val="21"/>
                <w:szCs w:val="21"/>
                <w:highlight w:val="none"/>
                <w:u w:val="none"/>
                <w:lang w:val="en-US" w:eastAsia="zh-CN" w:bidi="ar"/>
              </w:rPr>
            </w:pPr>
            <w:r>
              <w:rPr>
                <w:rFonts w:hint="eastAsia" w:ascii="宋体" w:hAnsi="宋体" w:eastAsia="宋体" w:cs="宋体"/>
                <w:b/>
                <w:bCs/>
                <w:i w:val="0"/>
                <w:iCs w:val="0"/>
                <w:snapToGrid w:val="0"/>
                <w:color w:val="000000"/>
                <w:kern w:val="0"/>
                <w:sz w:val="21"/>
                <w:szCs w:val="21"/>
                <w:highlight w:val="none"/>
                <w:u w:val="none"/>
                <w:lang w:val="en-US" w:eastAsia="zh-CN" w:bidi="ar"/>
              </w:rPr>
              <w:t>合计</w:t>
            </w:r>
          </w:p>
        </w:tc>
        <w:tc>
          <w:tcPr>
            <w:tcW w:w="1013" w:type="dxa"/>
            <w:tcBorders>
              <w:top w:val="single" w:color="auto" w:sz="4" w:space="0"/>
              <w:left w:val="single" w:color="auto" w:sz="4" w:space="0"/>
              <w:bottom w:val="single" w:color="auto" w:sz="4" w:space="0"/>
              <w:right w:val="single" w:color="auto" w:sz="4" w:space="0"/>
            </w:tcBorders>
            <w:shd w:val="clear" w:color="auto" w:fill="auto"/>
            <w:vAlign w:val="center"/>
          </w:tcPr>
          <w:p w14:paraId="290F661C">
            <w:pPr>
              <w:keepNext w:val="0"/>
              <w:keepLines w:val="0"/>
              <w:widowControl/>
              <w:suppressLineNumbers w:val="0"/>
              <w:jc w:val="center"/>
              <w:textAlignment w:val="center"/>
              <w:rPr>
                <w:rFonts w:hint="default" w:ascii="宋体" w:hAnsi="宋体" w:eastAsia="宋体" w:cs="宋体"/>
                <w:b/>
                <w:bCs/>
                <w:i w:val="0"/>
                <w:iCs w:val="0"/>
                <w:snapToGrid w:val="0"/>
                <w:color w:val="000000"/>
                <w:kern w:val="0"/>
                <w:sz w:val="21"/>
                <w:szCs w:val="21"/>
                <w:highlight w:val="none"/>
                <w:u w:val="none"/>
                <w:lang w:val="en-US" w:eastAsia="zh-CN" w:bidi="ar"/>
              </w:rPr>
            </w:pPr>
            <w:r>
              <w:rPr>
                <w:rFonts w:hint="eastAsia" w:ascii="宋体" w:hAnsi="宋体" w:eastAsia="宋体" w:cs="宋体"/>
                <w:b/>
                <w:bCs/>
                <w:i w:val="0"/>
                <w:iCs w:val="0"/>
                <w:snapToGrid w:val="0"/>
                <w:color w:val="000000"/>
                <w:kern w:val="0"/>
                <w:sz w:val="21"/>
                <w:szCs w:val="21"/>
                <w:highlight w:val="none"/>
                <w:u w:val="none"/>
                <w:lang w:val="en-US" w:eastAsia="zh-CN" w:bidi="ar"/>
              </w:rPr>
              <w:t>1610300</w:t>
            </w:r>
          </w:p>
        </w:tc>
        <w:tc>
          <w:tcPr>
            <w:tcW w:w="4628"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C05AE5C">
            <w:pPr>
              <w:keepNext w:val="0"/>
              <w:keepLines w:val="0"/>
              <w:widowControl/>
              <w:suppressLineNumbers w:val="0"/>
              <w:jc w:val="center"/>
              <w:textAlignment w:val="center"/>
              <w:rPr>
                <w:rFonts w:hint="eastAsia" w:ascii="宋体" w:hAnsi="宋体" w:eastAsia="宋体" w:cs="宋体"/>
                <w:b/>
                <w:bCs/>
                <w:i w:val="0"/>
                <w:iCs w:val="0"/>
                <w:snapToGrid w:val="0"/>
                <w:color w:val="000000"/>
                <w:kern w:val="0"/>
                <w:sz w:val="21"/>
                <w:szCs w:val="21"/>
                <w:highlight w:val="none"/>
                <w:u w:val="none"/>
                <w:lang w:val="en-US" w:eastAsia="zh-CN" w:bidi="ar"/>
              </w:rPr>
            </w:pPr>
          </w:p>
        </w:tc>
      </w:tr>
    </w:tbl>
    <w:p w14:paraId="5B687765"/>
    <w:p w14:paraId="67524AFD">
      <w:pPr>
        <w:kinsoku/>
        <w:autoSpaceDE/>
        <w:autoSpaceDN/>
        <w:adjustRightInd/>
        <w:snapToGrid/>
        <w:jc w:val="center"/>
        <w:textAlignment w:val="auto"/>
        <w:rPr>
          <w:rFonts w:hint="eastAsia" w:asciiTheme="majorEastAsia" w:hAnsiTheme="majorEastAsia" w:eastAsiaTheme="majorEastAsia" w:cstheme="majorEastAsia"/>
          <w:b/>
          <w:bCs/>
          <w:sz w:val="28"/>
          <w:szCs w:val="28"/>
          <w:lang w:eastAsia="zh-CN"/>
        </w:rPr>
      </w:pPr>
    </w:p>
    <w:p w14:paraId="0227B3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A676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宋体" w:cs="Arial"/>
      <w:snapToGrid w:val="0"/>
      <w:color w:val="00000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3">
    <w:name w:val="footer"/>
    <w:basedOn w:val="1"/>
    <w:unhideWhenUsed/>
    <w:qFormat/>
    <w:uiPriority w:val="99"/>
    <w:pPr>
      <w:tabs>
        <w:tab w:val="center" w:pos="4153"/>
        <w:tab w:val="right" w:pos="8306"/>
      </w:tabs>
    </w:pPr>
    <w:rPr>
      <w:sz w:val="18"/>
      <w:szCs w:val="18"/>
    </w:rPr>
  </w:style>
  <w:style w:type="paragraph" w:customStyle="1" w:styleId="6">
    <w:name w:val="无间隔1"/>
    <w:autoRedefine/>
    <w:qFormat/>
    <w:uiPriority w:val="99"/>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2025-05-21T14:28:20Z</dcterms:created>
  <dc:creator>Administrator</dc:creator>
  <cp:lastModifiedBy>Larmes</cp:lastModifiedBy>
  <dcterms:modified xsi:type="dcterms:W3CDTF">2025-05-21T14:28:38Z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eyJoZGlkIjoiNzE0NTdjZGQyMTZiY2I5NjJkZmQyZGFjNGU1NGNmOTQiLCJ1c2VySWQiOiIyNTQ5MjY0MDgifQ==</vt:lpwstr>
  </property>
  <property fmtid="{D5CDD505-2E9C-101B-9397-08002B2CF9AE}" pid="4" name="ICV">
    <vt:lpwstr>069B23FB82E44A838851402AC85A0A7D_12</vt:lpwstr>
  </property>
</Properties>
</file>